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F5" w:rsidRPr="004158E7" w:rsidRDefault="001A7F11" w:rsidP="004158E7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072912" cy="8534400"/>
            <wp:effectExtent l="19050" t="0" r="4038" b="0"/>
            <wp:docPr id="1" name="Рисунок 1" descr="C:\Users\admin\Desktop\тит 5.1\Scan0016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 5.1\Scan0016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912" cy="85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1F5" w:rsidRPr="007E11F5" w:rsidRDefault="007E11F5" w:rsidP="007E11F5">
      <w:pPr>
        <w:rPr>
          <w:lang w:val="ru-RU"/>
        </w:rPr>
        <w:sectPr w:rsidR="007E11F5" w:rsidRPr="007E11F5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7E11F5" w:rsidRPr="007E11F5" w:rsidRDefault="007E11F5" w:rsidP="007E11F5">
      <w:pPr>
        <w:autoSpaceDE w:val="0"/>
        <w:autoSpaceDN w:val="0"/>
        <w:spacing w:after="78" w:line="220" w:lineRule="exact"/>
        <w:rPr>
          <w:lang w:val="ru-RU"/>
        </w:rPr>
      </w:pP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  <w:proofErr w:type="gramEnd"/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сенсорно-перцептивного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>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достижения планируемых результатов освоения АООП НОО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выявления и развития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способностей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участия обучающихся с ТНР,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социальной среды;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использования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типа, определяющих пути и способы достижения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предоставления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включения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 процессы познания и преобразования внешкольной социальной среды (населённого пункта, района, города).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 xml:space="preserve">Осваивая основную образовательную Программу, требования к которой установлены действующим ФГОС,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Общие положения.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Произвольность, самоконтроль,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</w:t>
      </w:r>
      <w:proofErr w:type="gramStart"/>
      <w:r>
        <w:rPr>
          <w:rFonts w:ascii="Times New Roman" w:hAnsi="Times New Roman" w:cs="Times New Roman"/>
          <w:sz w:val="24"/>
          <w:lang w:val="ru-RU"/>
        </w:rPr>
        <w:t>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Психологические особенности данной группы детей: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эмоционально-волевой сферы;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предпосылок к усвоению новых знаний и предметных понятий; 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недостаточно развиты навыки чтения и образно-эмоциональная речевая деятельность;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несовершенность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мыслительных операций: мышление, память, внимание, восприятие;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Основой в работе с такими детьми является индивидуальный подход, который предусматривает: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проведение занятий в непринуждённой форме с установкой на успех каждого ученика;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учёт психофизических, личностных особенностей;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•</w:t>
      </w:r>
      <w:r>
        <w:rPr>
          <w:rFonts w:ascii="Times New Roman" w:hAnsi="Times New Roman" w:cs="Times New Roman"/>
          <w:sz w:val="24"/>
          <w:lang w:val="ru-RU"/>
        </w:rPr>
        <w:tab/>
        <w:t>опора на компенсаторные возможности и зону ближайшего развития;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соблюдение принципа «от простого к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сложному</w:t>
      </w:r>
      <w:proofErr w:type="gramEnd"/>
      <w:r>
        <w:rPr>
          <w:rFonts w:ascii="Times New Roman" w:hAnsi="Times New Roman" w:cs="Times New Roman"/>
          <w:sz w:val="24"/>
          <w:lang w:val="ru-RU"/>
        </w:rPr>
        <w:t>»;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переход к следующему изучению материала только после усвоения предыдущего;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снижение объёма и скорости выполнения письменных заданий.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Коррекционные задачи: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формировать познавательные интересы данной группы школьников и их самообразовательные навыки;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мышление, память, внимание, восприятие через индивидуальный раздаточный материал;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навыки чтения и образно-эмоциональную речевую деятельность;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Учебно-тематическое планирование составлено с учетом реализации коррекционных целей урока наряду с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образовательными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>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Планирование работы в классе, где присутствуют дети с ОВЗ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Упрощение заданий для ребенка с ОВЗ (акцент на основные идеи).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Замена письменных заданий </w:t>
      </w:r>
      <w:proofErr w:type="gramStart"/>
      <w:r>
        <w:rPr>
          <w:rFonts w:ascii="Times New Roman" w:hAnsi="Times New Roman" w:cs="Times New Roman"/>
          <w:sz w:val="24"/>
          <w:lang w:val="ru-RU"/>
        </w:rPr>
        <w:t>альтернативными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. 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Выдача задания на выбор по содержанию, форме выполнения.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Уменьшение объема выполняемой учеником работы.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Организация работы в парах, в группах.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Предложение четких алгоритмов для работы.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Предусмотрение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ходе урока смены деятельности учащихся, чередование активной работы с отдыхом.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Обязательное использование наглядных средств.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 классе и на парте ребенка не должно быть предметов, способных отвлечь его от работы.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Дублирование задания, записанного на доске, в распечатке для ребенка.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Избегать давать задание на переписывание.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Группировка похожих заданий вместе.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Формулировка заданий для учащихся с ОВЗ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сформулировано как в устном, так и в письменном виде.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кратким, конкретным, одним глаголом.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Ребенок должен повторить задание.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можно формулировать в несколько этапов.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При формулировании заданий нужно показать конечный продукт.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Формулируя задание, нужно стоять рядом с ребенком.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Нужно давать ребенку возможность закончить начатое задание.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Основные требования к уроку, на котором присутствуют дети с ОВЗ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1. Воздействие на все органы чувств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2. Разнообразные виды деятельности.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3. Обращение к опыту ребенка.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4. Комфортные условия на уроке.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5. Ребенок должен испытывать успех в преодолении трудностей.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6. Содружество учителя.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7. Задания малыми дозами.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8. Игра.</w:t>
      </w:r>
    </w:p>
    <w:p w:rsidR="00113984" w:rsidRDefault="00113984" w:rsidP="001139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9. Чувство самодостаточности, уважение к личности (можно осудить поступок, но не личность).</w:t>
      </w:r>
    </w:p>
    <w:p w:rsidR="00807722" w:rsidRDefault="00807722" w:rsidP="0080772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0" w:name="_GoBack"/>
      <w:bookmarkEnd w:id="0"/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Освоение 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ачальных математических знаний 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</w:t>
      </w:r>
      <w:r w:rsidR="0080772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spellEnd"/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», «равно-неравно», «порядок»), смысла арифметических действий,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Обеспечение математического развития младшего школьника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способности к интеллектуальной деятельности, пространственного воображения, математической речи; умение строить расс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уждения, выбирать аргументацию,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Становление учебно-познавательных мотивов и интереса к изучению математики и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математически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х терминах и понятиях; прочных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навыков использования математических знаний в повседневной жизни.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коррелирующие</w:t>
      </w:r>
      <w:proofErr w:type="spell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становлением личности младшего школьника: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понимание математических отношений выступает средством познания закономерностей существования   окру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жающего мира, фактов, процессов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возможности их измерить, определить величину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форму, выявить зависимости и закономерности их расположения во времени и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пространстве. Осознанию младшим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Масса (единица массы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грамм); соотношение между килограммом и граммом; отношение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«тяжелее/легче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Стоимость (единицы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рубль, копейка); установление отношения «дороже/дешевле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(единица времени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секунда); установление отношения «быстрее/медленнее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Длина (единица длины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миллиметр, километр); соотношение между величинами в пределах тысячи.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Площадь (единицы площади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квадратный метр, квадратный сантиметр, квадратный дециметр, квадратный метр).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Письменное сложение, вычитание чисел в пределах 1000. Действия с числами 0 и 1.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связками «если …, то …», «поэтому», «значит».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сравнивать математические объекты (числа, величины, геометрические фигуры);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выбирать приём вычисления, выполнения действия; конструировать геометрические фигуры;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прикидывать размеры фигуры, её элементов; понимать смысл зависимостей и математических отношений, описанных в задаче;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различать и использовать разные приёмы и алгоритмы вычисления;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выбирать метод решения (моделирование ситуации, перебор вариантов, использование алгоритма);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устанавливать последовательность событий, действий сюжета текстовой задачи.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читать информацию, представленную в разных формах;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извлекать и интерпретировать числовые данные, представленные в таблице, на диаграмме;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использовать математическую терминологию для описания отношений и зависимостей; 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строить речевые высказывания для решения зада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ч; составлять текстовую задачу;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объяснять на примера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х отношения «больше/меньше на …», «больше/меньше в …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», «равно»; использовать математическую символику 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составления числовых выражений;</w:t>
      </w:r>
      <w:proofErr w:type="gramEnd"/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выбирать, осуще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ствлять переход от одних единиц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измерения величины к другим в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соответ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ствии с практической ситуацией;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участвовать в обсуждении ошибок в ходе и результате выполнения вычисления.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е регулятивные учебные действия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проверять ход 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 выполнения действия;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вести поиск ошибок, 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их и исправлять;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формулировать ответ (вывод), подтвержд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ать его объяснением, расчётами;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выбирать и использовать различные приёмы прикидки и пр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оверки правильности вычисления;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проверять полноту и правильность заполн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ения таблиц сложения, умножения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трументов длину, массу, время);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я к своей работе;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совместно прикидку и оценку результата выполнения общей работы.</w:t>
      </w:r>
    </w:p>
    <w:p w:rsid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E11F5" w:rsidRPr="007E11F5" w:rsidRDefault="007E11F5" w:rsidP="007E11F5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осознавать необходимость изучения математики для адаптации к жизненным ситуациям, для развития общей культуры человека;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развития способности мыслить, рассуждать, выдвигать предположения и доказывать или опровергать их;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осваивать навыки организации безопасного поведения в информационной среде;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оценивать свои успехи в изучении математики, намечать пути устранения трудностей;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</w:t>
      </w: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учебные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устанавливать связи и зависимости между математическими объектами (часть-целое; причина-следствие; протяжённость);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приобретать практические графические и измерительные навыки для успешного решения учебных и житейских задач;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проявлять способность ориентироваться в учебном материале разных разделов курса математики;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применять изученные методы познания (измерение, моделирование, перебор вариантов)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читать, интерпретировать графически представленную информацию (схему, таблицу, диаграмму, другую модель);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принимать правила, безопасно использовать предлагаемые электронные средства и источники информации.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конструировать утверждения, проверять их истинность; строить логическое рассуждение;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использовать текст задания для объяснения способа и хода решения математической задачи;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формулировать ответ;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 процессе диалогов по обсуждению изученного материала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ориентироваться в алгоритмах: воспроизводить, дополнять, исправлять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составлять по аналогии;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самостоятельно составлять тексты заданий, аналогичные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типовым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изученным.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планировать этапы предстоящей работы, определять последовательность учебных действий;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выполнять правила безопасного использования электронных средств, предлагаемых в процессе обучения.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осуществлять контроль процесса и результата своей деятельности, объективно оценивать их;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выбирать и при необходимости корректировать способы действий;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находить ошибки в своей работе, устанавливать их причины, вести поиск путей преодоления ошибок.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оценивать рациональность своих действий, давать им качественную характеристику.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7E11F5" w:rsidRPr="007E11F5" w:rsidRDefault="001A12FF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согласовывать</w:t>
      </w:r>
      <w:r w:rsidR="007E11F5"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мнения в ходе поиска доказательств, выбора рационального способа, анализа информации;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E11F5" w:rsidRPr="007E11F5" w:rsidRDefault="001A12FF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классе </w:t>
      </w:r>
      <w:proofErr w:type="gramStart"/>
      <w:r w:rsidR="007E11F5" w:rsidRPr="007E11F5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="007E11F5"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читать, записывать, сравнивать, упорядочивать числа в пределах 1000;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находить число большее/меньшее данного числа на заданное число, в заданное число раз (в пределах 1000);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выполнять арифметические действия: сложение и вычитание (в пределах 100 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1A12FF"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устно, в пределах 1000 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1A12FF"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письменно); умножение и деление на однозначное число (в пределах 100 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1A12FF"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 и письменно);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выполнять действия умножение и деление с числами 0 и 1, деление с остатком;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находить неизвестный компонент арифметического действия;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  <w:proofErr w:type="gramEnd"/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преобразовывать одни единицы данной величины в другие;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определять с помощью цифровых и аналоговых приборов, измерительных инструментов длину, массу, время;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выполнять прикидку и оценку результата измерений; 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/в»; 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называть, находить долю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величины (половина, четверть);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сравнива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ть величины, выраженные долями;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знать и использовать при решении задач и в практических ситуациях (покупка товара, определение времени, выполнение расчётов) соотношение между вели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чинами;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выполнять сложение и вычитание однородных величин, умножение и деление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величины на однозначное число;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ичность, проверять вычисления);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конструировать прямоугольник из данных фигур (квадратов), делить прямоугольник, м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ногоугольник на заданные части;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сравнивать фигуры по площади (наложение, со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поставление числовых значений);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находить периметр прямоугольника (квадрата), площадь прямоугольника (квадрат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а), используя правило/алгоритм;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распознавать верные (истинные) и неверные (ложные) утверждения со словами: «все»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некоторые», 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«и», «каждый», «если…, то…»;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формулировать утверждение (вывод), строить </w:t>
      </w:r>
      <w:proofErr w:type="gram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(одно/</w:t>
      </w:r>
      <w:proofErr w:type="spellStart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), в том числе с и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спользованием изученных связок;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классифицировать объекты по одному, двум признакам; извлекать и использовать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жиз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ни (например, ярлык, этикетка);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структурировать информацию: заполнять простейшие таблицы по обр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азцу;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составлять план выполнения уч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ебного задания и следовать ему;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в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>ыполнять действия по алгоритму;</w:t>
      </w:r>
    </w:p>
    <w:p w:rsidR="001A12FF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>— сравнивать математические объекты (находить</w:t>
      </w:r>
      <w:r w:rsidR="001A12FF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общее, различное, уникальное);</w:t>
      </w:r>
    </w:p>
    <w:p w:rsidR="007E11F5" w:rsidRPr="007E11F5" w:rsidRDefault="007E11F5" w:rsidP="007E11F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выбирать верное решение математической задачи. </w:t>
      </w:r>
    </w:p>
    <w:p w:rsidR="007E11F5" w:rsidRPr="007E11F5" w:rsidRDefault="007E11F5" w:rsidP="007E11F5">
      <w:pPr>
        <w:spacing w:after="0" w:line="240" w:lineRule="auto"/>
        <w:ind w:firstLine="709"/>
        <w:jc w:val="both"/>
        <w:rPr>
          <w:lang w:val="ru-RU"/>
        </w:rPr>
        <w:sectPr w:rsidR="007E11F5" w:rsidRPr="007E11F5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F92EC7" w:rsidRDefault="00F92EC7" w:rsidP="00F92EC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</w:p>
    <w:tbl>
      <w:tblPr>
        <w:tblW w:w="10782" w:type="dxa"/>
        <w:tblInd w:w="-5" w:type="dxa"/>
        <w:tblLayout w:type="fixed"/>
        <w:tblLook w:val="04A0"/>
      </w:tblPr>
      <w:tblGrid>
        <w:gridCol w:w="12"/>
        <w:gridCol w:w="555"/>
        <w:gridCol w:w="6804"/>
        <w:gridCol w:w="851"/>
        <w:gridCol w:w="1134"/>
        <w:gridCol w:w="1414"/>
        <w:gridCol w:w="12"/>
      </w:tblGrid>
      <w:tr w:rsidR="00F92EC7" w:rsidRPr="00E22237" w:rsidTr="009779F3">
        <w:trPr>
          <w:gridAfter w:val="1"/>
          <w:wAfter w:w="12" w:type="dxa"/>
          <w:trHeight w:hRule="exact" w:val="98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№п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C7" w:rsidRPr="00965D3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</w:t>
            </w:r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proofErr w:type="spellEnd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65D34">
              <w:rPr>
                <w:rFonts w:ascii="Times New Roman" w:hAnsi="Times New Roman" w:cs="Times New Roman"/>
                <w:b/>
                <w:sz w:val="20"/>
                <w:szCs w:val="20"/>
              </w:rPr>
              <w:t>зучения</w:t>
            </w:r>
            <w:proofErr w:type="spellEnd"/>
          </w:p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5D3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5D3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Дата изучения</w:t>
            </w:r>
          </w:p>
          <w:p w:rsidR="00F92EC7" w:rsidRPr="00965D34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5D3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факт</w:t>
            </w: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 Нум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ерация чисел. Устные приёмы сло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жения и вычитания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ые приёмы сложения и вычитания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Выражения с переменной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hRule="exact" w:val="567"/>
        </w:trPr>
        <w:tc>
          <w:tcPr>
            <w:tcW w:w="56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уравнений с не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известным слагаемым на основе взаимосвязи чисел при сложении. </w:t>
            </w:r>
            <w:proofErr w:type="gramStart"/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№1</w:t>
            </w:r>
          </w:p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hRule="exact" w:val="55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уравнений с не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известным умень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шаемым на основе взаимосвязи чисел при вычитании</w:t>
            </w:r>
          </w:p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hRule="exact" w:val="56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уравнений с не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известным вычитаемым на основе взаимо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связи чисел при вычитании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3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Обозначение геометриче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ских фигур буквами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узнали. Чему научи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лись. </w:t>
            </w:r>
            <w:proofErr w:type="gramStart"/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 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Входная контрольная 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Анализ контрольной работы. Странички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любо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знательных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Связь умножения и сложения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Связь между компоне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нтами и результатом умножения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Четные и нечетные числа. Таблица умно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жения и деления с числами 2 и 3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с понятиями «ц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ена», «количество», «стоимость»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 с понятиями «масса» и «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ичество»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выполнения действий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рядок выполнения действий.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выполнения действий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ие задач. 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по теме "Порядок действий"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 Таблица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умножения и деления с числом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Таблица П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ифагора. 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 на ув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еличение числа в несколько раз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 на 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меньшение числа в несколько раз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 на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увеличение (уме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ньшение) числа в несколько раз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умножения и деления с числом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RPr="00E2223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 на кратное сравнение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E22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E22237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на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кратное и разностное сравнение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умножения и деления с числом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0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8067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№ 3 по теме «Табличное умножение на 4, 5, 6» (</w:t>
            </w:r>
            <w:r w:rsidRPr="000806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четверть)</w:t>
            </w:r>
          </w:p>
          <w:p w:rsidR="00F92EC7" w:rsidRPr="00080674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задач.  Закрепление.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  <w:r w:rsidRPr="000806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Решение задач.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Работа над ошибками. Наши проекты "Математические сказки"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Таблица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умножения и деления с числом 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Что узнали. Чему научились.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lang w:val="ru-RU"/>
              </w:rPr>
              <w:t> №3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Площадь. Срав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нение площадей фигур. Практиче</w:t>
            </w: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ская работа: "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Способы сравнения фигур по пло</w:t>
            </w: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щади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."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Единица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площади – квадратный сантиметр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Площадь прямоугольника (квадрата)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Таблица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умножения и деления с числом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Умножение на 6,7,8. 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Решение задач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43.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Таблица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умножения и деления с числом 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7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Единица площади – квадратный дециметр. </w:t>
            </w:r>
            <w:proofErr w:type="spell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Практич</w:t>
            </w:r>
            <w:proofErr w:type="spellEnd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. работа: "Измерение площади фигур при помощи модели квадрат. дециметра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."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Таблица умножения. Закрепление. 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Решение задач. Матема</w:t>
            </w: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ический диктант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Единица площади – квадратный метр. Практическая работа "План класса"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Решение задач.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Ре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шение задач.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Контрольная работа № 4 по теме «Таблица умножения на 7, 8, 9. Площадь»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Работа над ошибками. Умножение на 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Умножение на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Случаи деления вида </w:t>
            </w:r>
            <w:r w:rsidRPr="00023EF0">
              <w:rPr>
                <w:rFonts w:ascii="Times New Roman" w:hAnsi="Times New Roman" w:cs="Times New Roman"/>
                <w:sz w:val="20"/>
              </w:rPr>
              <w:t>a</w:t>
            </w: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: а,  а:1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Деление нуля на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Решение задач в 3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Закрепление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изученного</w:t>
            </w:r>
            <w:proofErr w:type="gramEnd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 по теме "Табличное умножение и деление"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Контрольная работа за 1 полугодие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Работа над ошибками. Тест "Проверим свои достижения"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Доли.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ru-RU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u-RU"/>
              </w:rPr>
              <w:t>. работа  "Деление геометри</w:t>
            </w: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ческой фигуры на доли"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 xml:space="preserve">Окружность. Круг. </w:t>
            </w:r>
            <w:proofErr w:type="spellStart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Практич</w:t>
            </w:r>
            <w:proofErr w:type="spellEnd"/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. работа "Построение окружности"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Диаметр окружности (круга)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Единицы времени. Год, месяц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Единицы времени. Сутки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lang w:val="ru-RU"/>
              </w:rPr>
              <w:t>Урок - соревнование "Что узнали, чему научились"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ожение и деление круглых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вида</w:t>
            </w: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80: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суммы на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суммы на число. 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д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вузначного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однозначное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Умножение двузначного числа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одно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значное. 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Решение задач на нахождение четвёртого пропорционального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Выражение с двумя переменными. За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крепление геометрических знаний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суммы на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суммы на число. Закрепление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Деление двузначного числа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однозначное вида 78:2, 69:3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Связь между числами при делении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 деления для случаев вида 87:29, 66:22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28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умножения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9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уравнений на ос</w:t>
            </w: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нове знания связ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между компонентами и результа</w:t>
            </w: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том умножения и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уравнений.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Закрепление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Странички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любознательных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Закрепление </w:t>
            </w:r>
            <w:proofErr w:type="gramStart"/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Математический диктант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 «Решение уравнений»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 ошибками. Деление с остатком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с остатком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с остатком. 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с остатком методом подбора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задач на деление с остатком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Частные случаи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деления с остатком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с остатк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ом.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93.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№ 7</w:t>
            </w: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 «Деление с остатком»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 Наши проекты "Задачи-расчёты"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Тысяча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ие и название трёхзначных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Письменная нуме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рация чисел в пределах 1000 Раз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ряды счётных 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Натуральная пос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ледовательность трёхзначных чи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Увеличение (уменьшение) числа 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10, 100 раз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за 3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Замена числа суммой разрядных слагаемых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Письменная нумерация чисел в пределах 1000. Приёмы устных вычислений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Сравнение трёхзначных чисел. 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диницы массы. Грамм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устных вычисле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ний в пределах 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устных вычисле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ний вида 450+30,620-200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устных вычисле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ний вида 470+80,560-90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устных вычислений вида 260+310,670-140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письменных вычислений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 письменного сложения трёхзначных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 письменного вычитания трёхзначных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1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Виды треугольнико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в: разносторонние, равносторон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ние, равнобедренные. Практическая работа "Определение вида треугольников"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RPr="000435DB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Приёмы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устных и письменных вычислений в пределах 1000. Закрепление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0435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F92EC7" w:rsidRPr="000435DB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435D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письменных вычислений в пр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еделах 1000. 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0435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435D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435D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115.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Контрольная работа № 9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 «Приёмы письменных вычислений»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 контрольной 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боты. Приёмы устных вычислений.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Умножение и деление. Приёмы устных вычислений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и деление. Приёмы устных вычислений в пределах 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hRule="exact" w:val="56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Виды треугольников: остроугольные, тупоугольные, прямоугольные. 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After w:val="1"/>
          <w:wAfter w:w="12" w:type="dxa"/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Странички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любознательных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Приёмы письменного умножения в пределах 1000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 письменного умножения трёхзнач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ного числа на однозначное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Приём письменного умножения на однозначное число.  Закрепление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Приёмы пись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менного деления в пределах 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hRule="exact" w:val="51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 письменного деления трёхзначного числа на однозначное число. Математический диктант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hRule="exact" w:val="32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hRule="exact" w:val="50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Приём письменного деления на однозначное число. Закрепление. Проверочная работа</w:t>
            </w:r>
          </w:p>
          <w:p w:rsidR="00F92EC7" w:rsidRPr="00023EF0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 «Вычисления в пределах 1000»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 Итоговый тест за 3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Итоговая контроль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ная работа №10 от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 Сложение и вычитание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Default="00F92EC7" w:rsidP="009779F3">
            <w:pPr>
              <w:spacing w:after="0" w:line="240" w:lineRule="auto"/>
            </w:pPr>
          </w:p>
        </w:tc>
      </w:tr>
      <w:tr w:rsidR="00F92EC7" w:rsidRPr="000D529B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23EF0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</w:rPr>
            </w:pPr>
            <w:r w:rsidRPr="00023EF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Умножение и деление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0D52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F92EC7" w:rsidRPr="000D529B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D529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4002D4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0D52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F92EC7" w:rsidRPr="000D529B" w:rsidTr="009779F3">
        <w:trPr>
          <w:gridBefore w:val="1"/>
          <w:wBefore w:w="12" w:type="dxa"/>
          <w:trHeight w:val="2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D529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136.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Обобщающий урок. Игра «</w:t>
            </w:r>
            <w:r w:rsidRPr="004002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океану математики». </w:t>
            </w:r>
            <w:r w:rsidRPr="000D52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Защита проектов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0D529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2EC7" w:rsidRPr="000D529B" w:rsidRDefault="00F92EC7" w:rsidP="009779F3">
            <w:pPr>
              <w:spacing w:after="0" w:line="240" w:lineRule="auto"/>
              <w:rPr>
                <w:lang w:val="ru-RU"/>
              </w:rPr>
            </w:pPr>
          </w:p>
        </w:tc>
      </w:tr>
    </w:tbl>
    <w:p w:rsidR="00F92EC7" w:rsidRPr="000D529B" w:rsidRDefault="00F92EC7" w:rsidP="00F92EC7">
      <w:pPr>
        <w:autoSpaceDE w:val="0"/>
        <w:autoSpaceDN w:val="0"/>
        <w:spacing w:after="0" w:line="14" w:lineRule="exact"/>
        <w:rPr>
          <w:lang w:val="ru-RU"/>
        </w:rPr>
      </w:pPr>
    </w:p>
    <w:p w:rsidR="00F92EC7" w:rsidRDefault="00F92EC7" w:rsidP="00F92EC7">
      <w:pPr>
        <w:rPr>
          <w:lang w:val="ru-RU"/>
        </w:rPr>
      </w:pPr>
    </w:p>
    <w:p w:rsidR="00F92EC7" w:rsidRPr="000D529B" w:rsidRDefault="00F92EC7" w:rsidP="00F92EC7">
      <w:pPr>
        <w:rPr>
          <w:lang w:val="ru-RU"/>
        </w:rPr>
        <w:sectPr w:rsidR="00F92EC7" w:rsidRPr="000D529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2EC7" w:rsidRPr="000D529B" w:rsidRDefault="00F92EC7" w:rsidP="00F92EC7">
      <w:pPr>
        <w:autoSpaceDE w:val="0"/>
        <w:autoSpaceDN w:val="0"/>
        <w:spacing w:after="78" w:line="220" w:lineRule="exact"/>
        <w:rPr>
          <w:lang w:val="ru-RU"/>
        </w:rPr>
      </w:pPr>
    </w:p>
    <w:p w:rsidR="00F92EC7" w:rsidRPr="00E22237" w:rsidRDefault="00F92EC7" w:rsidP="00F92EC7">
      <w:pPr>
        <w:autoSpaceDE w:val="0"/>
        <w:autoSpaceDN w:val="0"/>
        <w:spacing w:after="0" w:line="230" w:lineRule="auto"/>
        <w:rPr>
          <w:lang w:val="ru-RU"/>
        </w:rPr>
      </w:pPr>
      <w:r w:rsidRPr="00E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Математика. 3 класс. Учеб. Для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организаций с прил. на электрон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осителе. В 2 ч. – 4-е изд. –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2014.</w:t>
      </w:r>
      <w:r w:rsidRPr="007E11F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Ситникова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Т. Н. Поурочные разработки по математике. 3 класс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учителя / Т. Н. 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Ситникова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И. Ф. 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Яценко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– 8-е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–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ВАКО, 2021. – 480 с.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В. Н. Математика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3 класс : контрольные измерительные материалы. ФГОС / В. Н. 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– 13.е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и доп. –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Издательство «Экзамен», 2020. – 96 с.</w:t>
      </w:r>
    </w:p>
    <w:p w:rsidR="00F92EC7" w:rsidRPr="000F69C1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653E7">
        <w:rPr>
          <w:rFonts w:ascii="Times New Roman" w:eastAsia="Times New Roman" w:hAnsi="Times New Roman"/>
          <w:color w:val="000000"/>
          <w:sz w:val="24"/>
          <w:lang w:val="ru-RU"/>
        </w:rPr>
        <w:t>Моро М.И. , Волкова С.И. Математика Рабочая тетрадь (в 2-х частях) 3 класс М.: "Просвещение" 2019г.</w:t>
      </w: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92EC7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92EC7" w:rsidRPr="00D00C9A" w:rsidRDefault="00F92EC7" w:rsidP="00F92EC7">
      <w:pPr>
        <w:autoSpaceDE w:val="0"/>
        <w:autoSpaceDN w:val="0"/>
        <w:spacing w:after="0" w:line="382" w:lineRule="auto"/>
        <w:ind w:right="94"/>
        <w:jc w:val="both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</w:p>
    <w:p w:rsidR="00F92EC7" w:rsidRPr="007E11F5" w:rsidRDefault="00F92EC7" w:rsidP="00F92EC7">
      <w:pPr>
        <w:rPr>
          <w:lang w:val="ru-RU"/>
        </w:rPr>
        <w:sectPr w:rsidR="00F92EC7" w:rsidRPr="007E11F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2EC7" w:rsidRPr="007E11F5" w:rsidRDefault="00F92EC7" w:rsidP="00F92EC7">
      <w:pPr>
        <w:autoSpaceDE w:val="0"/>
        <w:autoSpaceDN w:val="0"/>
        <w:spacing w:after="78" w:line="220" w:lineRule="exact"/>
        <w:rPr>
          <w:lang w:val="ru-RU"/>
        </w:rPr>
      </w:pPr>
    </w:p>
    <w:p w:rsidR="00F92EC7" w:rsidRDefault="00F92EC7" w:rsidP="00F92EC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F92EC7" w:rsidRPr="000F69C1" w:rsidRDefault="00F92EC7" w:rsidP="00F92EC7">
      <w:pPr>
        <w:autoSpaceDE w:val="0"/>
        <w:autoSpaceDN w:val="0"/>
        <w:spacing w:after="0" w:line="302" w:lineRule="auto"/>
        <w:ind w:right="5040"/>
        <w:rPr>
          <w:lang w:val="ru-RU"/>
        </w:rPr>
      </w:pPr>
    </w:p>
    <w:p w:rsidR="00F92EC7" w:rsidRDefault="00F92EC7" w:rsidP="00F92EC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</w:p>
    <w:p w:rsidR="00F92EC7" w:rsidRDefault="00F92EC7" w:rsidP="00F92EC7">
      <w:pPr>
        <w:autoSpaceDE w:val="0"/>
        <w:autoSpaceDN w:val="0"/>
        <w:spacing w:after="0" w:line="302" w:lineRule="auto"/>
        <w:ind w:right="5040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Учебные плакаты, </w:t>
      </w:r>
      <w:proofErr w:type="spellStart"/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 к учебнику</w:t>
      </w:r>
    </w:p>
    <w:p w:rsidR="00F92EC7" w:rsidRDefault="00F92EC7" w:rsidP="00F92EC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E11F5">
        <w:rPr>
          <w:lang w:val="ru-RU"/>
        </w:rPr>
        <w:br/>
      </w:r>
      <w:r w:rsidRPr="007E11F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F92EC7" w:rsidRPr="000F69C1" w:rsidRDefault="00F92EC7" w:rsidP="00F92EC7">
      <w:pPr>
        <w:autoSpaceDE w:val="0"/>
        <w:autoSpaceDN w:val="0"/>
        <w:spacing w:after="0" w:line="408" w:lineRule="auto"/>
        <w:ind w:right="432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Линейка, циркуль</w:t>
      </w:r>
    </w:p>
    <w:p w:rsidR="007E11F5" w:rsidRPr="007E11F5" w:rsidRDefault="007E11F5" w:rsidP="007E11F5">
      <w:pPr>
        <w:autoSpaceDE w:val="0"/>
        <w:autoSpaceDN w:val="0"/>
        <w:spacing w:after="64" w:line="220" w:lineRule="exact"/>
        <w:rPr>
          <w:lang w:val="ru-RU"/>
        </w:rPr>
      </w:pPr>
    </w:p>
    <w:sectPr w:rsidR="007E11F5" w:rsidRPr="007E11F5" w:rsidSect="00F92EC7">
      <w:pgSz w:w="11900" w:h="16840"/>
      <w:pgMar w:top="284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40B"/>
    <w:rsid w:val="00023EF0"/>
    <w:rsid w:val="00080674"/>
    <w:rsid w:val="001118B6"/>
    <w:rsid w:val="00113984"/>
    <w:rsid w:val="001A12FF"/>
    <w:rsid w:val="001A7F11"/>
    <w:rsid w:val="00255928"/>
    <w:rsid w:val="003B6DFF"/>
    <w:rsid w:val="003D79F4"/>
    <w:rsid w:val="004002D4"/>
    <w:rsid w:val="004158E7"/>
    <w:rsid w:val="007E11F5"/>
    <w:rsid w:val="00807722"/>
    <w:rsid w:val="008A040B"/>
    <w:rsid w:val="00A86D6B"/>
    <w:rsid w:val="00AE1911"/>
    <w:rsid w:val="00CD56B8"/>
    <w:rsid w:val="00E22237"/>
    <w:rsid w:val="00F05127"/>
    <w:rsid w:val="00F9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E11F5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qFormat/>
    <w:rsid w:val="007E11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7E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7E11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E11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E11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E11F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E11F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E11F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E11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E11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7E11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7E11F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7E11F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7E11F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7E11F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7E11F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7E11F5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7E11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7E1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7E11F5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7E1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7E11F5"/>
    <w:rPr>
      <w:rFonts w:eastAsiaTheme="minorEastAsia"/>
      <w:lang w:val="en-US"/>
    </w:rPr>
  </w:style>
  <w:style w:type="paragraph" w:styleId="a9">
    <w:name w:val="No Spacing"/>
    <w:uiPriority w:val="1"/>
    <w:qFormat/>
    <w:rsid w:val="007E11F5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99"/>
    <w:qFormat/>
    <w:rsid w:val="007E11F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99"/>
    <w:rsid w:val="007E11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7E11F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7E11F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7E11F5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7E11F5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7E11F5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7E11F5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7E11F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7E11F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7E11F5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7E11F5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7E11F5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7E11F5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7E11F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7E11F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7E11F5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7E11F5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7E11F5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7E11F5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7E11F5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7E11F5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7E11F5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7E11F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7E11F5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7E11F5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7E11F5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qFormat/>
    <w:rsid w:val="007E11F5"/>
    <w:rPr>
      <w:b/>
      <w:bCs/>
    </w:rPr>
  </w:style>
  <w:style w:type="character" w:styleId="af6">
    <w:name w:val="Emphasis"/>
    <w:basedOn w:val="a2"/>
    <w:qFormat/>
    <w:rsid w:val="007E11F5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7E11F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7E11F5"/>
    <w:rPr>
      <w:rFonts w:eastAsiaTheme="minorEastAsia"/>
      <w:b/>
      <w:bCs/>
      <w:i/>
      <w:iCs/>
      <w:color w:val="5B9BD5" w:themeColor="accent1"/>
      <w:lang w:val="en-US"/>
    </w:rPr>
  </w:style>
  <w:style w:type="character" w:styleId="af9">
    <w:name w:val="Subtle Emphasis"/>
    <w:basedOn w:val="a2"/>
    <w:uiPriority w:val="19"/>
    <w:qFormat/>
    <w:rsid w:val="007E11F5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7E11F5"/>
    <w:rPr>
      <w:b/>
      <w:bCs/>
      <w:i/>
      <w:iCs/>
      <w:color w:val="5B9BD5" w:themeColor="accent1"/>
    </w:rPr>
  </w:style>
  <w:style w:type="character" w:styleId="afb">
    <w:name w:val="Subtle Reference"/>
    <w:basedOn w:val="a2"/>
    <w:uiPriority w:val="31"/>
    <w:qFormat/>
    <w:rsid w:val="007E11F5"/>
    <w:rPr>
      <w:smallCaps/>
      <w:color w:val="ED7D31" w:themeColor="accent2"/>
      <w:u w:val="single"/>
    </w:rPr>
  </w:style>
  <w:style w:type="character" w:styleId="afc">
    <w:name w:val="Intense Reference"/>
    <w:basedOn w:val="a2"/>
    <w:uiPriority w:val="32"/>
    <w:qFormat/>
    <w:rsid w:val="007E11F5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7E11F5"/>
    <w:rPr>
      <w:b/>
      <w:bCs/>
      <w:smallCaps/>
      <w:spacing w:val="5"/>
    </w:rPr>
  </w:style>
  <w:style w:type="paragraph" w:styleId="afe">
    <w:name w:val="TOC Heading"/>
    <w:basedOn w:val="1"/>
    <w:next w:val="a1"/>
    <w:uiPriority w:val="39"/>
    <w:semiHidden/>
    <w:unhideWhenUsed/>
    <w:qFormat/>
    <w:rsid w:val="007E11F5"/>
    <w:pPr>
      <w:outlineLvl w:val="9"/>
    </w:pPr>
  </w:style>
  <w:style w:type="paragraph" w:styleId="aff">
    <w:name w:val="Normal (Web)"/>
    <w:basedOn w:val="a1"/>
    <w:unhideWhenUsed/>
    <w:rsid w:val="00E22237"/>
    <w:pPr>
      <w:shd w:val="clear" w:color="auto" w:fill="FFFFFF"/>
      <w:autoSpaceDE w:val="0"/>
      <w:autoSpaceDN w:val="0"/>
      <w:adjustRightInd w:val="0"/>
      <w:spacing w:before="100" w:beforeAutospacing="1" w:after="100" w:afterAutospacing="1" w:line="240" w:lineRule="auto"/>
      <w:ind w:right="-108" w:firstLine="567"/>
      <w:contextualSpacing/>
      <w:jc w:val="both"/>
    </w:pPr>
    <w:rPr>
      <w:rFonts w:ascii="Times New Roman" w:eastAsia="Times New Roman" w:hAnsi="Times New Roman" w:cs="Times New Roman"/>
      <w:i/>
      <w:lang w:val="ru-RU" w:eastAsia="ru-RU"/>
    </w:rPr>
  </w:style>
  <w:style w:type="paragraph" w:customStyle="1" w:styleId="11">
    <w:name w:val="Абзац списка1"/>
    <w:basedOn w:val="a1"/>
    <w:qFormat/>
    <w:rsid w:val="00E22237"/>
    <w:pPr>
      <w:shd w:val="clear" w:color="auto" w:fill="FFFFFF"/>
      <w:autoSpaceDE w:val="0"/>
      <w:autoSpaceDN w:val="0"/>
      <w:adjustRightInd w:val="0"/>
      <w:spacing w:after="0" w:line="240" w:lineRule="auto"/>
      <w:ind w:left="720" w:right="-108" w:firstLine="567"/>
      <w:contextualSpacing/>
      <w:jc w:val="both"/>
    </w:pPr>
    <w:rPr>
      <w:rFonts w:ascii="Times New Roman" w:eastAsia="Times New Roman" w:hAnsi="Times New Roman" w:cs="Times New Roman"/>
      <w:i/>
      <w:lang w:eastAsia="ru-RU"/>
    </w:rPr>
  </w:style>
  <w:style w:type="character" w:customStyle="1" w:styleId="FontStyle19">
    <w:name w:val="Font Style19"/>
    <w:basedOn w:val="a2"/>
    <w:rsid w:val="00E22237"/>
    <w:rPr>
      <w:rFonts w:ascii="Times New Roman" w:hAnsi="Times New Roman" w:cs="Times New Roman" w:hint="default"/>
      <w:sz w:val="22"/>
      <w:szCs w:val="22"/>
    </w:rPr>
  </w:style>
  <w:style w:type="table" w:styleId="aff0">
    <w:name w:val="Table Grid"/>
    <w:basedOn w:val="a3"/>
    <w:uiPriority w:val="59"/>
    <w:rsid w:val="00E2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footnote text"/>
    <w:basedOn w:val="a1"/>
    <w:link w:val="aff2"/>
    <w:semiHidden/>
    <w:rsid w:val="00E22237"/>
    <w:pPr>
      <w:shd w:val="clear" w:color="auto" w:fill="FFFFFF"/>
      <w:autoSpaceDE w:val="0"/>
      <w:autoSpaceDN w:val="0"/>
      <w:adjustRightInd w:val="0"/>
      <w:spacing w:after="0" w:line="240" w:lineRule="auto"/>
      <w:ind w:right="-108" w:firstLine="567"/>
      <w:contextualSpacing/>
      <w:jc w:val="both"/>
    </w:pPr>
    <w:rPr>
      <w:rFonts w:ascii="Times New Roman" w:eastAsia="Times New Roman" w:hAnsi="Times New Roman" w:cs="Times New Roman"/>
      <w:i/>
      <w:sz w:val="20"/>
      <w:szCs w:val="20"/>
      <w:lang w:val="ru-RU" w:eastAsia="ru-RU"/>
    </w:rPr>
  </w:style>
  <w:style w:type="character" w:customStyle="1" w:styleId="aff2">
    <w:name w:val="Текст сноски Знак"/>
    <w:basedOn w:val="a2"/>
    <w:link w:val="aff1"/>
    <w:semiHidden/>
    <w:rsid w:val="00E22237"/>
    <w:rPr>
      <w:rFonts w:ascii="Times New Roman" w:eastAsia="Times New Roman" w:hAnsi="Times New Roman" w:cs="Times New Roman"/>
      <w:i/>
      <w:sz w:val="20"/>
      <w:szCs w:val="20"/>
      <w:shd w:val="clear" w:color="auto" w:fill="FFFFFF"/>
      <w:lang w:eastAsia="ru-RU"/>
    </w:rPr>
  </w:style>
  <w:style w:type="character" w:customStyle="1" w:styleId="published">
    <w:name w:val="published"/>
    <w:basedOn w:val="a2"/>
    <w:rsid w:val="00E22237"/>
  </w:style>
  <w:style w:type="character" w:customStyle="1" w:styleId="c9">
    <w:name w:val="c9"/>
    <w:basedOn w:val="a2"/>
    <w:rsid w:val="00E22237"/>
  </w:style>
  <w:style w:type="paragraph" w:styleId="aff3">
    <w:name w:val="Balloon Text"/>
    <w:basedOn w:val="a1"/>
    <w:link w:val="aff4"/>
    <w:uiPriority w:val="99"/>
    <w:semiHidden/>
    <w:unhideWhenUsed/>
    <w:rsid w:val="00E22237"/>
    <w:pPr>
      <w:shd w:val="clear" w:color="auto" w:fill="FFFFFF"/>
      <w:autoSpaceDE w:val="0"/>
      <w:autoSpaceDN w:val="0"/>
      <w:adjustRightInd w:val="0"/>
      <w:spacing w:after="0" w:line="240" w:lineRule="auto"/>
      <w:ind w:right="-108" w:firstLine="567"/>
      <w:contextualSpacing/>
      <w:jc w:val="both"/>
    </w:pPr>
    <w:rPr>
      <w:rFonts w:ascii="Tahoma" w:eastAsia="Times New Roman" w:hAnsi="Tahoma" w:cs="Tahoma"/>
      <w:i/>
      <w:color w:val="000000"/>
      <w:sz w:val="16"/>
      <w:szCs w:val="16"/>
      <w:lang w:val="ru-RU" w:eastAsia="ru-RU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E22237"/>
    <w:rPr>
      <w:rFonts w:ascii="Tahoma" w:eastAsia="Times New Roman" w:hAnsi="Tahoma" w:cs="Tahoma"/>
      <w:i/>
      <w:color w:val="000000"/>
      <w:sz w:val="16"/>
      <w:szCs w:val="16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5909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and Evgeniy</dc:creator>
  <cp:keywords/>
  <dc:description/>
  <cp:lastModifiedBy>admin</cp:lastModifiedBy>
  <cp:revision>10</cp:revision>
  <dcterms:created xsi:type="dcterms:W3CDTF">2022-08-12T12:42:00Z</dcterms:created>
  <dcterms:modified xsi:type="dcterms:W3CDTF">2023-09-25T07:47:00Z</dcterms:modified>
</cp:coreProperties>
</file>